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Customer Onboarding Checklist</w:t>
      </w:r>
    </w:p>
    <w:p>
      <w:pPr>
        <w:spacing w:after="120"/>
      </w:pPr>
      <w:r>
        <w:rPr>
          <w:i/>
          <w:sz w:val="22"/>
          <w:szCs w:val="22"/>
        </w:rPr>
        <w:t xml:space="preserve">A step-by-step onboarding checklist that reduces confusion after purchase.</w:t>
      </w:r>
    </w:p>
    <w:p>
      <w:pPr>
        <w:spacing w:before="220" w:after="60"/>
      </w:pPr>
      <w:r>
        <w:rPr>
          <w:b/>
          <w:sz w:val="28"/>
          <w:szCs w:val="28"/>
        </w:rPr>
        <w:t xml:space="preserve">SaaS new account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saas new account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saas new account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Agency client kickoff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agency client kickoff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agency client kickoff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Ecommerce post-purchase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ecommerce post-purchase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ecommerce post-purchase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appointment prep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service appointment prep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service appointment prep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Enterprise rollout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enterprise rollout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enterprise rollout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Self-serve customer onboarding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self-serve customer onboarding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self-serve customer onboarding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https://sem.chat/templates/customer-onboarding-checklist</w:t>
      </w:r>
    </w:p>
    <w:sectPr>
      <w:pgSz w:w="12240" w:h="15840"/>
      <w:pgMar w:top="1440" w:right="1440" w:bottom="1440" w:left="1440"/>
    </w:sectPr>
  </w:body>
</w:document>
</file>